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240" w:after="0"/>
        <w:jc w:val="center"/>
        <w:rPr/>
      </w:pPr>
      <w:r>
        <w:rPr/>
        <w:t>WYMAGANIA EDUKACYJNE Z</w:t>
      </w:r>
      <w:r>
        <w:rPr/>
        <w:t xml:space="preserve"> INFORMATYKI, </w:t>
        <w:br/>
        <w:t>OBOWIĄZUJĄCY W ZSP W SIDZINIE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rStyle w:val="Emphasis"/>
        </w:rPr>
      </w:pPr>
      <w:r>
        <w:rPr>
          <w:rStyle w:val="Emphasis"/>
        </w:rPr>
        <w:t xml:space="preserve">1) </w:t>
      </w:r>
      <w:r>
        <w:rPr>
          <w:rStyle w:val="Emphasis"/>
        </w:rPr>
        <w:t>Wymagania edukacyjne</w:t>
      </w:r>
      <w:r>
        <w:rPr>
          <w:rStyle w:val="Emphasis"/>
        </w:rPr>
        <w:t xml:space="preserve"> z informatyki opracowano zgodnie z:</w:t>
      </w:r>
    </w:p>
    <w:p>
      <w:pPr>
        <w:pStyle w:val="ListParagraph"/>
        <w:rPr/>
      </w:pPr>
      <w:r>
        <w:rPr/>
        <w:t>a) Rozporządzeniem Ministra Edukacji Narodowej z dnia z dnia 16 sierpnia 2017r.</w:t>
      </w:r>
    </w:p>
    <w:p>
      <w:pPr>
        <w:pStyle w:val="ListParagraph"/>
        <w:rPr/>
      </w:pPr>
      <w:r>
        <w:rPr/>
        <w:t>o systemie oceniania, klasyfikowania i promowania uczniów i słuchaczy oraz</w:t>
      </w:r>
    </w:p>
    <w:p>
      <w:pPr>
        <w:pStyle w:val="ListParagraph"/>
        <w:rPr/>
      </w:pPr>
      <w:r>
        <w:rPr/>
        <w:t>przeprowadzania egzaminów i sprawdzianów w szkołach publicznych.</w:t>
      </w:r>
    </w:p>
    <w:p>
      <w:pPr>
        <w:pStyle w:val="ListParagraph"/>
        <w:rPr/>
      </w:pPr>
      <w:r>
        <w:rPr/>
        <w:t>c) Program nauczania informatyki w szkole podstawowej Grażyny Koby "Teraz bajty"</w:t>
      </w:r>
    </w:p>
    <w:p>
      <w:pPr>
        <w:pStyle w:val="ListParagraph"/>
        <w:rPr/>
      </w:pPr>
      <w:r>
        <w:rPr/>
        <w:t>Informatyka dla szkoły podstawowej (klasy IV-VI oraz klasy VII-VIII).</w:t>
      </w:r>
    </w:p>
    <w:p>
      <w:pPr>
        <w:pStyle w:val="ListParagraph"/>
        <w:rPr/>
      </w:pPr>
      <w:r>
        <w:rPr/>
        <w:t>d) Podręcznik "Teraz bajty" Informatyka dla szkoły podstawowej, wyd. MiGra.</w:t>
      </w:r>
    </w:p>
    <w:p>
      <w:pPr>
        <w:pStyle w:val="Normal"/>
        <w:rPr>
          <w:rStyle w:val="Emphasis"/>
        </w:rPr>
      </w:pPr>
      <w:r>
        <w:rPr>
          <w:rStyle w:val="Emphasis"/>
        </w:rPr>
        <w:t xml:space="preserve">2) Celem </w:t>
      </w:r>
      <w:r>
        <w:rPr>
          <w:rStyle w:val="Emphasis"/>
        </w:rPr>
        <w:t xml:space="preserve">wymagań edukacyjnych </w:t>
      </w:r>
      <w:r>
        <w:rPr>
          <w:rStyle w:val="Emphasis"/>
        </w:rPr>
        <w:t>jest jasne określenie zasad, którymi będzie się kierował nauczyciel przy wystawianiu ocen z informatyki.</w:t>
      </w:r>
    </w:p>
    <w:p>
      <w:pPr>
        <w:pStyle w:val="Normal"/>
        <w:rPr>
          <w:rStyle w:val="Emphasis"/>
        </w:rPr>
      </w:pPr>
      <w:r>
        <w:rPr>
          <w:rStyle w:val="Emphasis"/>
        </w:rPr>
        <w:t xml:space="preserve">3) Uczniowie zostają zapoznani z </w:t>
      </w:r>
      <w:r>
        <w:rPr>
          <w:rStyle w:val="Emphasis"/>
        </w:rPr>
        <w:t>wymaganiami edukacyjnymi</w:t>
      </w:r>
      <w:r>
        <w:rPr>
          <w:rStyle w:val="Emphasis"/>
        </w:rPr>
        <w:t xml:space="preserve"> na pierwszej lekcji informatyki w nowym roku szkolnym.</w:t>
      </w:r>
    </w:p>
    <w:p>
      <w:pPr>
        <w:pStyle w:val="Normal"/>
        <w:rPr>
          <w:rStyle w:val="Emphasis"/>
        </w:rPr>
      </w:pPr>
      <w:r>
        <w:rPr>
          <w:rStyle w:val="Emphasis"/>
        </w:rPr>
        <w:t>4) Cele oceniania:</w:t>
      </w:r>
    </w:p>
    <w:p>
      <w:pPr>
        <w:pStyle w:val="ListParagraph"/>
        <w:rPr/>
      </w:pPr>
      <w:r>
        <w:rPr/>
        <w:t>a) poinformowanie ucznia o poziomie jego osiągnięć edukacyjnych i jego zachowaniu</w:t>
      </w:r>
    </w:p>
    <w:p>
      <w:pPr>
        <w:pStyle w:val="ListParagraph"/>
        <w:rPr/>
      </w:pPr>
      <w:r>
        <w:rPr/>
        <w:t>oraz postępach w tym zakresie;</w:t>
      </w:r>
    </w:p>
    <w:p>
      <w:pPr>
        <w:pStyle w:val="ListParagraph"/>
        <w:rPr/>
      </w:pPr>
      <w:r>
        <w:rPr/>
        <w:t>b) udzielenie uczniowi pomocy w samodzielnym planowaniu swojego rozwoju;</w:t>
      </w:r>
    </w:p>
    <w:p>
      <w:pPr>
        <w:pStyle w:val="ListParagraph"/>
        <w:rPr/>
      </w:pPr>
      <w:r>
        <w:rPr/>
        <w:t>c) motywowanie ucznia do dalszych postępów w nauce i zachowaniu;</w:t>
      </w:r>
    </w:p>
    <w:p>
      <w:pPr>
        <w:pStyle w:val="ListParagraph"/>
        <w:rPr/>
      </w:pPr>
      <w:r>
        <w:rPr/>
        <w:t>d) dostarczenie rodzicom (prawnym opiekunom) i nauczycielom informacji o postępach,</w:t>
      </w:r>
    </w:p>
    <w:p>
      <w:pPr>
        <w:pStyle w:val="ListParagraph"/>
        <w:rPr/>
      </w:pPr>
      <w:r>
        <w:rPr/>
        <w:t>e) umożliwienie nauczycielom doskonalenia organizacji i metod w pracy dydaktyczno -</w:t>
      </w:r>
    </w:p>
    <w:p>
      <w:pPr>
        <w:pStyle w:val="ListParagraph"/>
        <w:rPr/>
      </w:pPr>
      <w:r>
        <w:rPr/>
        <w:t>wychowawczej.</w:t>
      </w:r>
    </w:p>
    <w:p>
      <w:pPr>
        <w:pStyle w:val="Normal"/>
        <w:rPr>
          <w:rStyle w:val="Emphasis"/>
        </w:rPr>
      </w:pPr>
      <w:r>
        <w:rPr>
          <w:rStyle w:val="Emphasis"/>
        </w:rPr>
        <w:t>5) Ocena jest informacją, w jakim stopniu uczeń spełnił wymagania programowe postawione przez nauczyciela (nie jest karą ani nagrodą).</w:t>
      </w:r>
    </w:p>
    <w:p>
      <w:pPr>
        <w:pStyle w:val="Normal"/>
        <w:rPr>
          <w:rStyle w:val="Emphasis"/>
        </w:rPr>
      </w:pPr>
      <w:r>
        <w:rPr>
          <w:rStyle w:val="Emphasis"/>
        </w:rPr>
        <w:t>6) Ocenie podlegają:</w:t>
      </w:r>
    </w:p>
    <w:p>
      <w:pPr>
        <w:pStyle w:val="ListParagraph"/>
        <w:rPr/>
      </w:pPr>
      <w:r>
        <w:rPr/>
        <w:t>a) krótkie, 5-10 minutowe prace kontrolne na komputerze z 1 do 2 ostatnich lekcji</w:t>
      </w:r>
    </w:p>
    <w:p>
      <w:pPr>
        <w:pStyle w:val="ListParagraph"/>
        <w:rPr/>
      </w:pPr>
      <w:r>
        <w:rPr/>
        <w:t>b) pisemne: sprawdzian zapowiedziany z określonego materiału,</w:t>
      </w:r>
    </w:p>
    <w:p>
      <w:pPr>
        <w:pStyle w:val="ListParagraph"/>
        <w:rPr/>
      </w:pPr>
      <w:r>
        <w:rPr/>
        <w:t>c) kartkówka lub test niezapowiedziany z ostatnich 1-2 tematów,</w:t>
      </w:r>
    </w:p>
    <w:p>
      <w:pPr>
        <w:pStyle w:val="ListParagraph"/>
        <w:rPr/>
      </w:pPr>
      <w:r>
        <w:rPr/>
        <w:t>d) prace klasowe i sprawdziany praktyczne na komputerze (zapowiedziane),</w:t>
      </w:r>
    </w:p>
    <w:p>
      <w:pPr>
        <w:pStyle w:val="ListParagraph"/>
        <w:rPr/>
      </w:pPr>
      <w:r>
        <w:rPr/>
        <w:t>e) projekty długoterminowe,</w:t>
      </w:r>
    </w:p>
    <w:p>
      <w:pPr>
        <w:pStyle w:val="ListParagraph"/>
        <w:rPr/>
      </w:pPr>
      <w:r>
        <w:rPr/>
        <w:t>f) testy interaktywne (zapowiedziane i niezapowiedziane),</w:t>
      </w:r>
    </w:p>
    <w:p>
      <w:pPr>
        <w:pStyle w:val="ListParagraph"/>
        <w:rPr/>
      </w:pPr>
      <w:r>
        <w:rPr/>
        <w:t>g) wypowiedzi na określony temat (odpowiedź na pytanie, dyskusja, rozmowa)</w:t>
      </w:r>
    </w:p>
    <w:p>
      <w:pPr>
        <w:pStyle w:val="ListParagraph"/>
        <w:rPr/>
      </w:pPr>
      <w:r>
        <w:rPr/>
        <w:t>h</w:t>
      </w:r>
      <w:r>
        <w:rPr/>
        <w:t>) praca ucznia w czasie lekcji,</w:t>
      </w:r>
    </w:p>
    <w:p>
      <w:pPr>
        <w:pStyle w:val="ListParagraph"/>
        <w:rPr/>
      </w:pPr>
      <w:r>
        <w:rPr/>
        <w:t>i</w:t>
      </w:r>
      <w:r>
        <w:rPr/>
        <w:t>) zadania praktyczne z poszczególnych działów,</w:t>
      </w:r>
    </w:p>
    <w:p>
      <w:pPr>
        <w:pStyle w:val="ListParagraph"/>
        <w:rPr/>
      </w:pPr>
      <w:r>
        <w:rPr/>
        <w:t>j</w:t>
      </w:r>
      <w:r>
        <w:rPr/>
        <w:t>) praca ucznia na lekcji (aktywność i zaangażowanie, stosunek ucznia do przedmiotu),</w:t>
      </w:r>
    </w:p>
    <w:p>
      <w:pPr>
        <w:pStyle w:val="ListParagraph"/>
        <w:rPr/>
      </w:pPr>
      <w:r>
        <w:rPr/>
        <w:t>k</w:t>
      </w:r>
      <w:r>
        <w:rPr/>
        <w:t>) prace dodatkowe wykonywane na rzecz szkoły i społeczności uczniowskiej,</w:t>
      </w:r>
    </w:p>
    <w:p>
      <w:pPr>
        <w:pStyle w:val="ListParagraph"/>
        <w:rPr/>
      </w:pPr>
      <w:r>
        <w:rPr/>
        <w:t>l</w:t>
      </w:r>
      <w:r>
        <w:rPr/>
        <w:t>) ćwiczenia praktyczne na komputerze,</w:t>
      </w:r>
    </w:p>
    <w:p>
      <w:pPr>
        <w:pStyle w:val="ListParagraph"/>
        <w:rPr/>
      </w:pPr>
      <w:r>
        <w:rPr/>
        <w:t>m</w:t>
      </w:r>
      <w:r>
        <w:rPr/>
        <w:t>) wypowiedź ustna na lekcjach bieżących i powtórzeniowych,</w:t>
      </w:r>
    </w:p>
    <w:p>
      <w:pPr>
        <w:pStyle w:val="ListParagraph"/>
        <w:rPr/>
      </w:pPr>
      <w:r>
        <w:rPr/>
        <w:t>n</w:t>
      </w:r>
      <w:r>
        <w:rPr/>
        <w:t>) praca w grupie,</w:t>
      </w:r>
    </w:p>
    <w:p>
      <w:pPr>
        <w:pStyle w:val="ListParagraph"/>
        <w:rPr/>
      </w:pPr>
      <w:r>
        <w:rPr/>
        <w:t>o</w:t>
      </w:r>
      <w:r>
        <w:rPr/>
        <w:t>) konkursy, olimpiady,</w:t>
      </w:r>
    </w:p>
    <w:p>
      <w:pPr>
        <w:pStyle w:val="ListParagraph"/>
        <w:rPr/>
      </w:pPr>
      <w:r>
        <w:rPr/>
        <w:t>p</w:t>
      </w:r>
      <w:r>
        <w:rPr/>
        <w:t>) twórcze rozwiązywanie problemów,</w:t>
      </w:r>
    </w:p>
    <w:p>
      <w:pPr>
        <w:pStyle w:val="ListParagraph"/>
        <w:rPr/>
      </w:pPr>
      <w:r>
        <w:rPr/>
        <w:t>r</w:t>
      </w:r>
      <w:r>
        <w:rPr/>
        <w:t>) aktywność i zaangażowanie na lekcjach.</w:t>
      </w:r>
    </w:p>
    <w:p>
      <w:pPr>
        <w:pStyle w:val="Normal"/>
        <w:rPr>
          <w:rStyle w:val="Emphasis"/>
        </w:rPr>
      </w:pPr>
      <w:r>
        <w:rPr>
          <w:rStyle w:val="Emphasis"/>
        </w:rPr>
        <w:t>7) Umowa z uczniami:</w:t>
      </w:r>
    </w:p>
    <w:p>
      <w:pPr>
        <w:pStyle w:val="ListParagraph"/>
        <w:rPr/>
      </w:pPr>
      <w:r>
        <w:rPr/>
        <w:t>a) Sprawdziany praktyczne i teoretyczne są obowiązkowe. Jeżeli uczeń opuścił</w:t>
      </w:r>
    </w:p>
    <w:p>
      <w:pPr>
        <w:pStyle w:val="ListParagraph"/>
        <w:rPr/>
      </w:pPr>
      <w:r>
        <w:rPr/>
        <w:t>sprawdzian z przyczyn losowych, powinien do niego przystąpić w terminie nie</w:t>
      </w:r>
    </w:p>
    <w:p>
      <w:pPr>
        <w:pStyle w:val="ListParagraph"/>
        <w:rPr/>
      </w:pPr>
      <w:r>
        <w:rPr/>
        <w:t>przekraczającym 2 tygodni od powrotu do szkoły. Jeśli nie uczyni tego w tym czasie</w:t>
      </w:r>
    </w:p>
    <w:p>
      <w:pPr>
        <w:pStyle w:val="ListParagraph"/>
        <w:rPr/>
      </w:pPr>
      <w:r>
        <w:rPr/>
        <w:t>jest zobowiązany do napisania jej na pierwszej lekcji informatyki po upływie 2 tygodni</w:t>
      </w:r>
    </w:p>
    <w:p>
      <w:pPr>
        <w:pStyle w:val="ListParagraph"/>
        <w:rPr/>
      </w:pPr>
      <w:r>
        <w:rPr/>
        <w:t>od jego powrotu do szkoły.</w:t>
      </w:r>
    </w:p>
    <w:p>
      <w:pPr>
        <w:pStyle w:val="ListParagraph"/>
        <w:rPr/>
      </w:pPr>
      <w:r>
        <w:rPr/>
        <w:t xml:space="preserve">b) Uczeń może poprawić każdą ocenę ze sprawdzianu w ciągu 2 tygodni od zapoznania się </w:t>
        <w:br/>
        <w:t>z oceną. Do poprawy można przystąpić tylko jeden raz.</w:t>
      </w:r>
    </w:p>
    <w:p>
      <w:pPr>
        <w:pStyle w:val="ListParagraph"/>
        <w:rPr/>
      </w:pPr>
      <w:r>
        <w:rPr/>
        <w:t>c) Kartkówki obejmują materiałem trzy ostatnie lekcje, kartkówka nie musi być zapowiadana. Ocen z kartkówek nie poprawia się.</w:t>
      </w:r>
    </w:p>
    <w:p>
      <w:pPr>
        <w:pStyle w:val="ListParagraph"/>
        <w:rPr/>
      </w:pPr>
      <w:r>
        <w:rPr/>
        <w:t>d) Prace pisemne powinny być ocenione i oddane w ciągu 2 tygodni.</w:t>
      </w:r>
    </w:p>
    <w:p>
      <w:pPr>
        <w:pStyle w:val="ListParagraph"/>
        <w:rPr/>
      </w:pPr>
      <w:r>
        <w:rPr/>
        <w:t>e) Odpowiedź ustna obejmuje materiał z trzech ostatnich lekcji.</w:t>
      </w:r>
    </w:p>
    <w:p>
      <w:pPr>
        <w:pStyle w:val="ListParagraph"/>
        <w:rPr/>
      </w:pPr>
      <w:r>
        <w:rPr/>
        <w:t>f) Nie ocenia się ucznia po dłuższej, usprawiedliwionej nieobecności w szkole (dłuższej</w:t>
      </w:r>
    </w:p>
    <w:p>
      <w:pPr>
        <w:pStyle w:val="ListParagraph"/>
        <w:rPr/>
      </w:pPr>
      <w:r>
        <w:rPr/>
        <w:t>niż 3 kolejne zajęcia).</w:t>
      </w:r>
    </w:p>
    <w:p>
      <w:pPr>
        <w:pStyle w:val="ListParagraph"/>
        <w:rPr/>
      </w:pPr>
      <w:r>
        <w:rPr/>
        <w:t xml:space="preserve">g) Oceny okresowe wystawia się na podstawie ocen cząstkowych, które uczeń otrzymuje </w:t>
        <w:br/>
        <w:t>w ciągu całego roku szkolnego.</w:t>
      </w:r>
    </w:p>
    <w:p>
      <w:pPr>
        <w:pStyle w:val="ListParagraph"/>
        <w:rPr/>
      </w:pPr>
      <w:r>
        <w:rPr/>
        <w:t>h) Ocenę końcoworoczną wystawia się biorąc pod uwagę wszystkie oceny cząstkowe uzyskane w ciągu całego roku szkolnego.</w:t>
      </w:r>
    </w:p>
    <w:p>
      <w:pPr>
        <w:pStyle w:val="ListParagraph"/>
        <w:rPr/>
      </w:pPr>
      <w:r>
        <w:rPr/>
        <w:t xml:space="preserve">i) Na koniec roku nie przewiduje się żadnych sprawdzianów zaliczeniowych, mających na </w:t>
        <w:br/>
        <w:t>celu podwyższenie oceny.</w:t>
      </w:r>
    </w:p>
    <w:p>
      <w:pPr>
        <w:pStyle w:val="ListParagraph"/>
        <w:rPr/>
      </w:pPr>
      <w:r>
        <w:rPr/>
        <w:t>j) Wszystkie oceny są jawne.</w:t>
      </w:r>
    </w:p>
    <w:p>
      <w:pPr>
        <w:pStyle w:val="Normal"/>
        <w:rPr>
          <w:rStyle w:val="Emphasis"/>
        </w:rPr>
      </w:pPr>
      <w:r>
        <w:rPr>
          <w:rStyle w:val="Emphasis"/>
        </w:rPr>
        <w:t>8) Metody oceniania osiągnięć ucznia zgodne z załącznikami.</w:t>
      </w:r>
    </w:p>
    <w:p>
      <w:pPr>
        <w:pStyle w:val="Normal"/>
        <w:rPr>
          <w:b/>
          <w:bCs/>
        </w:rPr>
      </w:pPr>
      <w:r>
        <w:rPr>
          <w:b/>
          <w:bCs/>
        </w:rPr>
        <w:t>Przyjęta symbolika form oceniania oraz wagi</w:t>
      </w:r>
    </w:p>
    <w:tbl>
      <w:tblPr>
        <w:tblStyle w:val="Tabela-Siatka"/>
        <w:tblW w:w="541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3"/>
        <w:gridCol w:w="736"/>
      </w:tblGrid>
      <w:tr>
        <w:trPr/>
        <w:tc>
          <w:tcPr>
            <w:tcW w:w="467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Symbol i opis</w:t>
            </w:r>
          </w:p>
        </w:tc>
        <w:tc>
          <w:tcPr>
            <w:tcW w:w="73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Waga</w:t>
            </w:r>
          </w:p>
        </w:tc>
      </w:tr>
      <w:tr>
        <w:trPr/>
        <w:tc>
          <w:tcPr>
            <w:tcW w:w="467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 xml:space="preserve">PK -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klasowa</w:t>
            </w:r>
          </w:p>
        </w:tc>
        <w:tc>
          <w:tcPr>
            <w:tcW w:w="73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5</w:t>
            </w:r>
          </w:p>
        </w:tc>
      </w:tr>
      <w:tr>
        <w:trPr/>
        <w:tc>
          <w:tcPr>
            <w:tcW w:w="467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 xml:space="preserve">K –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kartkówka</w:t>
            </w:r>
          </w:p>
        </w:tc>
        <w:tc>
          <w:tcPr>
            <w:tcW w:w="73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</w:tr>
      <w:tr>
        <w:trPr/>
        <w:tc>
          <w:tcPr>
            <w:tcW w:w="467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 xml:space="preserve">T -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test (może być interaktywny)</w:t>
            </w:r>
          </w:p>
        </w:tc>
        <w:tc>
          <w:tcPr>
            <w:tcW w:w="73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5</w:t>
            </w:r>
          </w:p>
        </w:tc>
      </w:tr>
      <w:tr>
        <w:trPr/>
        <w:tc>
          <w:tcPr>
            <w:tcW w:w="467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 xml:space="preserve">O –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odpowiedź</w:t>
            </w:r>
          </w:p>
        </w:tc>
        <w:tc>
          <w:tcPr>
            <w:tcW w:w="73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</w:tr>
      <w:tr>
        <w:trPr/>
        <w:tc>
          <w:tcPr>
            <w:tcW w:w="467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 xml:space="preserve">S –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sprawdzian</w:t>
            </w:r>
          </w:p>
        </w:tc>
        <w:tc>
          <w:tcPr>
            <w:tcW w:w="73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5</w:t>
            </w:r>
          </w:p>
        </w:tc>
      </w:tr>
      <w:tr>
        <w:trPr/>
        <w:tc>
          <w:tcPr>
            <w:tcW w:w="467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 xml:space="preserve">A –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aktywność</w:t>
            </w:r>
          </w:p>
        </w:tc>
        <w:tc>
          <w:tcPr>
            <w:tcW w:w="73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2-3</w:t>
            </w:r>
          </w:p>
        </w:tc>
      </w:tr>
      <w:tr>
        <w:trPr/>
        <w:tc>
          <w:tcPr>
            <w:tcW w:w="467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 xml:space="preserve">Pr -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projekt (praca projektowa długoterminowa)</w:t>
            </w:r>
          </w:p>
        </w:tc>
        <w:tc>
          <w:tcPr>
            <w:tcW w:w="73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5</w:t>
            </w:r>
          </w:p>
        </w:tc>
      </w:tr>
      <w:tr>
        <w:trPr/>
        <w:tc>
          <w:tcPr>
            <w:tcW w:w="467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 xml:space="preserve">Ćw -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ćwiczenie (praktyczne na komputerze)</w:t>
            </w:r>
          </w:p>
        </w:tc>
        <w:tc>
          <w:tcPr>
            <w:tcW w:w="73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4</w:t>
            </w:r>
          </w:p>
        </w:tc>
      </w:tr>
      <w:tr>
        <w:trPr/>
        <w:tc>
          <w:tcPr>
            <w:tcW w:w="467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 xml:space="preserve">Pd -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dodatkowa</w:t>
            </w:r>
          </w:p>
        </w:tc>
        <w:tc>
          <w:tcPr>
            <w:tcW w:w="73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</w:tr>
      <w:tr>
        <w:trPr/>
        <w:tc>
          <w:tcPr>
            <w:tcW w:w="467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 xml:space="preserve">Np –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nieprzygotowanie</w:t>
            </w:r>
          </w:p>
        </w:tc>
        <w:tc>
          <w:tcPr>
            <w:tcW w:w="73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67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 xml:space="preserve">P**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poprawa (** zastępuje symbol formy)</w:t>
            </w:r>
          </w:p>
        </w:tc>
        <w:tc>
          <w:tcPr>
            <w:tcW w:w="73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b/>
          <w:bCs/>
        </w:rPr>
      </w:pPr>
      <w:r>
        <w:rPr>
          <w:b/>
          <w:bCs/>
        </w:rPr>
        <w:t xml:space="preserve">Skala stopni - sprawdziany, testy itp. </w:t>
      </w:r>
    </w:p>
    <w:p>
      <w:pPr>
        <w:pStyle w:val="Default"/>
        <w:jc w:val="left"/>
        <w:rPr>
          <w:strike w:val="false"/>
          <w:dstrike w:val="false"/>
          <w:sz w:val="22"/>
          <w:u w:val="none"/>
        </w:rPr>
      </w:pPr>
      <w:r>
        <w:rPr>
          <w:sz w:val="22"/>
        </w:rPr>
        <w:t xml:space="preserve">poniżej 30% możliwych do uzyskania punktów – niedostateczny; </w:t>
      </w:r>
    </w:p>
    <w:p>
      <w:pPr>
        <w:pStyle w:val="Default"/>
        <w:jc w:val="left"/>
        <w:rPr>
          <w:strike w:val="false"/>
          <w:dstrike w:val="false"/>
          <w:sz w:val="22"/>
          <w:u w:val="none"/>
        </w:rPr>
      </w:pPr>
      <w:r>
        <w:rPr>
          <w:rFonts w:ascii="Calibri" w:hAnsi="Calibri"/>
          <w:strike w:val="false"/>
          <w:dstrike w:val="false"/>
          <w:sz w:val="22"/>
          <w:u w:val="none"/>
        </w:rPr>
        <w:t xml:space="preserve">30% - 49% - dopuszczający; </w:t>
      </w:r>
    </w:p>
    <w:p>
      <w:pPr>
        <w:pStyle w:val="Default"/>
        <w:jc w:val="left"/>
        <w:rPr>
          <w:strike w:val="false"/>
          <w:dstrike w:val="false"/>
          <w:sz w:val="22"/>
          <w:u w:val="none"/>
        </w:rPr>
      </w:pPr>
      <w:r>
        <w:rPr>
          <w:rFonts w:ascii="Calibri" w:hAnsi="Calibri"/>
          <w:strike w:val="false"/>
          <w:dstrike w:val="false"/>
          <w:sz w:val="22"/>
          <w:u w:val="none"/>
        </w:rPr>
        <w:t xml:space="preserve">50% - 69% - dostateczny; </w:t>
      </w:r>
    </w:p>
    <w:p>
      <w:pPr>
        <w:pStyle w:val="Default"/>
        <w:jc w:val="left"/>
        <w:rPr>
          <w:strike w:val="false"/>
          <w:dstrike w:val="false"/>
          <w:sz w:val="22"/>
          <w:u w:val="none"/>
        </w:rPr>
      </w:pPr>
      <w:r>
        <w:rPr>
          <w:rFonts w:ascii="Calibri" w:hAnsi="Calibri"/>
          <w:strike w:val="false"/>
          <w:dstrike w:val="false"/>
          <w:sz w:val="22"/>
          <w:u w:val="none"/>
        </w:rPr>
        <w:t xml:space="preserve">70% - 84% - dobry; </w:t>
      </w:r>
    </w:p>
    <w:p>
      <w:pPr>
        <w:pStyle w:val="Default"/>
        <w:jc w:val="left"/>
        <w:rPr>
          <w:strike w:val="false"/>
          <w:dstrike w:val="false"/>
          <w:sz w:val="22"/>
          <w:u w:val="none"/>
        </w:rPr>
      </w:pPr>
      <w:r>
        <w:rPr>
          <w:rFonts w:ascii="Calibri" w:hAnsi="Calibri"/>
          <w:strike w:val="false"/>
          <w:dstrike w:val="false"/>
          <w:sz w:val="22"/>
          <w:u w:val="none"/>
        </w:rPr>
        <w:t xml:space="preserve">85% - 98% - bardzo dobry; </w:t>
      </w:r>
    </w:p>
    <w:p>
      <w:pPr>
        <w:pStyle w:val="Default"/>
        <w:rPr>
          <w:b w:val="false"/>
          <w:bCs w:val="false"/>
        </w:rPr>
      </w:pPr>
      <w:r>
        <w:rPr>
          <w:rFonts w:ascii="Calibri" w:hAnsi="Calibri"/>
          <w:b w:val="false"/>
          <w:bCs w:val="false"/>
          <w:strike w:val="false"/>
          <w:dstrike w:val="false"/>
          <w:sz w:val="22"/>
          <w:u w:val="none"/>
        </w:rPr>
        <w:t xml:space="preserve">99% -100% – celujący. </w:t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Progi dla ocen śródrocznych i rocznych </w:t>
      </w:r>
    </w:p>
    <w:p>
      <w:pPr>
        <w:pStyle w:val="Normal"/>
        <w:rPr>
          <w:b/>
          <w:bCs/>
        </w:rPr>
      </w:pPr>
      <w:r>
        <w:rPr/>
      </w:r>
    </w:p>
    <w:tbl>
      <w:tblPr>
        <w:tblW w:w="38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929"/>
      </w:tblGrid>
      <w:tr>
        <w:trPr>
          <w:trHeight w:val="110" w:hRule="atLeast"/>
        </w:trPr>
        <w:tc>
          <w:tcPr>
            <w:tcW w:w="1930" w:type="dxa"/>
            <w:tcBorders/>
          </w:tcPr>
          <w:p>
            <w:pPr>
              <w:pStyle w:val="Default"/>
              <w:tabs>
                <w:tab w:val="clear" w:pos="708"/>
              </w:tabs>
              <w:spacing w:before="0" w:after="160"/>
              <w:jc w:val="left"/>
              <w:rPr/>
            </w:pPr>
            <w:r>
              <w:rPr>
                <w:b/>
                <w:bCs/>
                <w:sz w:val="22"/>
              </w:rPr>
              <w:t>ś</w:t>
            </w:r>
            <w:r>
              <w:rPr>
                <w:sz w:val="22"/>
              </w:rPr>
              <w:t xml:space="preserve">rednia </w:t>
            </w:r>
          </w:p>
        </w:tc>
        <w:tc>
          <w:tcPr>
            <w:tcW w:w="1929" w:type="dxa"/>
            <w:tcBorders/>
          </w:tcPr>
          <w:p>
            <w:pPr>
              <w:pStyle w:val="Default"/>
              <w:tabs>
                <w:tab w:val="clear" w:pos="708"/>
              </w:tabs>
              <w:spacing w:before="0" w:after="160"/>
              <w:jc w:val="left"/>
              <w:rPr/>
            </w:pPr>
            <w:r>
              <w:rPr>
                <w:sz w:val="22"/>
              </w:rPr>
              <w:t xml:space="preserve">stopień </w:t>
            </w:r>
          </w:p>
        </w:tc>
      </w:tr>
      <w:tr>
        <w:trPr>
          <w:trHeight w:val="110" w:hRule="atLeast"/>
        </w:trPr>
        <w:tc>
          <w:tcPr>
            <w:tcW w:w="1930" w:type="dxa"/>
            <w:tcBorders/>
          </w:tcPr>
          <w:p>
            <w:pPr>
              <w:pStyle w:val="Default"/>
              <w:tabs>
                <w:tab w:val="clear" w:pos="708"/>
              </w:tabs>
              <w:spacing w:before="0" w:after="160"/>
              <w:jc w:val="left"/>
              <w:rPr/>
            </w:pPr>
            <w:r>
              <w:rPr>
                <w:sz w:val="22"/>
              </w:rPr>
              <w:t xml:space="preserve">1,6 i poniżej </w:t>
            </w:r>
          </w:p>
        </w:tc>
        <w:tc>
          <w:tcPr>
            <w:tcW w:w="1929" w:type="dxa"/>
            <w:tcBorders/>
          </w:tcPr>
          <w:p>
            <w:pPr>
              <w:pStyle w:val="Default"/>
              <w:tabs>
                <w:tab w:val="clear" w:pos="708"/>
              </w:tabs>
              <w:spacing w:before="0" w:after="160"/>
              <w:jc w:val="left"/>
              <w:rPr/>
            </w:pPr>
            <w:r>
              <w:rPr>
                <w:sz w:val="22"/>
              </w:rPr>
              <w:t xml:space="preserve">niedostateczny </w:t>
            </w:r>
          </w:p>
        </w:tc>
      </w:tr>
      <w:tr>
        <w:trPr>
          <w:trHeight w:val="110" w:hRule="atLeast"/>
        </w:trPr>
        <w:tc>
          <w:tcPr>
            <w:tcW w:w="1930" w:type="dxa"/>
            <w:tcBorders/>
          </w:tcPr>
          <w:p>
            <w:pPr>
              <w:pStyle w:val="Default"/>
              <w:tabs>
                <w:tab w:val="clear" w:pos="708"/>
              </w:tabs>
              <w:spacing w:before="0" w:after="160"/>
              <w:jc w:val="left"/>
              <w:rPr/>
            </w:pPr>
            <w:r>
              <w:rPr>
                <w:sz w:val="22"/>
              </w:rPr>
              <w:t xml:space="preserve">od 1,61 do 2,60 </w:t>
            </w:r>
          </w:p>
        </w:tc>
        <w:tc>
          <w:tcPr>
            <w:tcW w:w="1929" w:type="dxa"/>
            <w:tcBorders/>
          </w:tcPr>
          <w:p>
            <w:pPr>
              <w:pStyle w:val="Default"/>
              <w:tabs>
                <w:tab w:val="clear" w:pos="708"/>
              </w:tabs>
              <w:spacing w:before="0" w:after="160"/>
              <w:jc w:val="left"/>
              <w:rPr/>
            </w:pPr>
            <w:r>
              <w:rPr>
                <w:sz w:val="22"/>
              </w:rPr>
              <w:t xml:space="preserve">dopuszczający </w:t>
            </w:r>
          </w:p>
        </w:tc>
      </w:tr>
      <w:tr>
        <w:trPr>
          <w:trHeight w:val="110" w:hRule="atLeast"/>
        </w:trPr>
        <w:tc>
          <w:tcPr>
            <w:tcW w:w="1930" w:type="dxa"/>
            <w:tcBorders/>
          </w:tcPr>
          <w:p>
            <w:pPr>
              <w:pStyle w:val="Default"/>
              <w:tabs>
                <w:tab w:val="clear" w:pos="708"/>
              </w:tabs>
              <w:spacing w:before="0" w:after="160"/>
              <w:jc w:val="left"/>
              <w:rPr/>
            </w:pPr>
            <w:r>
              <w:rPr>
                <w:sz w:val="22"/>
              </w:rPr>
              <w:t xml:space="preserve">od 2,61 do 3,60 </w:t>
            </w:r>
          </w:p>
        </w:tc>
        <w:tc>
          <w:tcPr>
            <w:tcW w:w="1929" w:type="dxa"/>
            <w:tcBorders/>
          </w:tcPr>
          <w:p>
            <w:pPr>
              <w:pStyle w:val="Default"/>
              <w:tabs>
                <w:tab w:val="clear" w:pos="708"/>
              </w:tabs>
              <w:spacing w:before="0" w:after="160"/>
              <w:jc w:val="left"/>
              <w:rPr/>
            </w:pPr>
            <w:r>
              <w:rPr>
                <w:sz w:val="22"/>
              </w:rPr>
              <w:t xml:space="preserve">dostateczny </w:t>
            </w:r>
          </w:p>
        </w:tc>
      </w:tr>
      <w:tr>
        <w:trPr>
          <w:trHeight w:val="110" w:hRule="atLeast"/>
        </w:trPr>
        <w:tc>
          <w:tcPr>
            <w:tcW w:w="1930" w:type="dxa"/>
            <w:tcBorders/>
          </w:tcPr>
          <w:p>
            <w:pPr>
              <w:pStyle w:val="Default"/>
              <w:tabs>
                <w:tab w:val="clear" w:pos="708"/>
              </w:tabs>
              <w:spacing w:before="0" w:after="160"/>
              <w:jc w:val="left"/>
              <w:rPr/>
            </w:pPr>
            <w:r>
              <w:rPr>
                <w:sz w:val="22"/>
              </w:rPr>
              <w:t xml:space="preserve">od 3,61 do 4,60 </w:t>
            </w:r>
          </w:p>
        </w:tc>
        <w:tc>
          <w:tcPr>
            <w:tcW w:w="1929" w:type="dxa"/>
            <w:tcBorders/>
          </w:tcPr>
          <w:p>
            <w:pPr>
              <w:pStyle w:val="Default"/>
              <w:tabs>
                <w:tab w:val="clear" w:pos="708"/>
              </w:tabs>
              <w:spacing w:before="0" w:after="160"/>
              <w:jc w:val="left"/>
              <w:rPr/>
            </w:pPr>
            <w:r>
              <w:rPr>
                <w:sz w:val="22"/>
              </w:rPr>
              <w:t xml:space="preserve">dobry </w:t>
            </w:r>
          </w:p>
        </w:tc>
      </w:tr>
      <w:tr>
        <w:trPr>
          <w:trHeight w:val="110" w:hRule="atLeast"/>
        </w:trPr>
        <w:tc>
          <w:tcPr>
            <w:tcW w:w="1930" w:type="dxa"/>
            <w:tcBorders/>
          </w:tcPr>
          <w:p>
            <w:pPr>
              <w:pStyle w:val="Default"/>
              <w:tabs>
                <w:tab w:val="clear" w:pos="708"/>
              </w:tabs>
              <w:spacing w:before="0" w:after="160"/>
              <w:jc w:val="left"/>
              <w:rPr/>
            </w:pPr>
            <w:r>
              <w:rPr>
                <w:sz w:val="22"/>
              </w:rPr>
              <w:t xml:space="preserve">od 4,61 do 5,50 </w:t>
            </w:r>
          </w:p>
        </w:tc>
        <w:tc>
          <w:tcPr>
            <w:tcW w:w="1929" w:type="dxa"/>
            <w:tcBorders/>
          </w:tcPr>
          <w:p>
            <w:pPr>
              <w:pStyle w:val="Default"/>
              <w:tabs>
                <w:tab w:val="clear" w:pos="708"/>
              </w:tabs>
              <w:spacing w:before="0" w:after="160"/>
              <w:jc w:val="left"/>
              <w:rPr/>
            </w:pPr>
            <w:r>
              <w:rPr>
                <w:sz w:val="22"/>
              </w:rPr>
              <w:t xml:space="preserve">bardzo dobry </w:t>
            </w:r>
          </w:p>
        </w:tc>
      </w:tr>
      <w:tr>
        <w:trPr>
          <w:trHeight w:val="110" w:hRule="atLeast"/>
        </w:trPr>
        <w:tc>
          <w:tcPr>
            <w:tcW w:w="1930" w:type="dxa"/>
            <w:tcBorders/>
          </w:tcPr>
          <w:p>
            <w:pPr>
              <w:pStyle w:val="Default"/>
              <w:tabs>
                <w:tab w:val="clear" w:pos="708"/>
              </w:tabs>
              <w:spacing w:before="0" w:after="160"/>
              <w:jc w:val="left"/>
              <w:rPr/>
            </w:pPr>
            <w:r>
              <w:rPr>
                <w:sz w:val="22"/>
              </w:rPr>
              <w:t xml:space="preserve">od 5,51 </w:t>
            </w:r>
          </w:p>
        </w:tc>
        <w:tc>
          <w:tcPr>
            <w:tcW w:w="1929" w:type="dxa"/>
            <w:tcBorders/>
          </w:tcPr>
          <w:p>
            <w:pPr>
              <w:pStyle w:val="Default"/>
              <w:tabs>
                <w:tab w:val="clear" w:pos="708"/>
              </w:tabs>
              <w:spacing w:before="0" w:after="160"/>
              <w:jc w:val="left"/>
              <w:rPr/>
            </w:pPr>
            <w:r>
              <w:rPr>
                <w:sz w:val="22"/>
              </w:rPr>
              <w:t xml:space="preserve">celujący </w:t>
            </w:r>
          </w:p>
        </w:tc>
      </w:tr>
    </w:tbl>
    <w:p>
      <w:pPr>
        <w:pStyle w:val="Default"/>
        <w:jc w:val="left"/>
        <w:rPr>
          <w:strike w:val="false"/>
          <w:dstrike w:val="false"/>
          <w:sz w:val="22"/>
          <w:u w:val="none"/>
        </w:rPr>
      </w:pPr>
      <w:r>
        <w:rPr>
          <w:strike w:val="false"/>
          <w:dstrike w:val="false"/>
          <w:sz w:val="22"/>
          <w:u w:val="none"/>
        </w:rPr>
      </w:r>
    </w:p>
    <w:p>
      <w:pPr>
        <w:pStyle w:val="Normal"/>
        <w:spacing w:before="0" w:after="160"/>
        <w:rPr>
          <w:b/>
          <w:bCs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auto"/>
    <w:pitch w:val="variable"/>
  </w:font>
  <w:font w:name="Calibri">
    <w:charset w:val="ee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90b0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8844d5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8844d5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8844d5"/>
    <w:rPr>
      <w:i/>
      <w:i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8844d5"/>
    <w:pPr>
      <w:spacing w:before="0" w:after="160"/>
      <w:ind w:left="720"/>
      <w:contextualSpacing/>
    </w:pPr>
    <w:rPr/>
  </w:style>
  <w:style w:type="paragraph" w:styleId="Zawartoramki">
    <w:name w:val="Zawartość ramki"/>
    <w:basedOn w:val="Normal"/>
    <w:qFormat/>
    <w:pPr/>
    <w:rPr/>
  </w:style>
  <w:style w:type="paragraph" w:styleId="Default">
    <w:name w:val="Default"/>
    <w:qFormat/>
    <w:pPr>
      <w:widowControl/>
      <w:bidi w:val="0"/>
      <w:spacing w:lineRule="auto" w:line="259" w:before="0" w:after="160"/>
      <w:jc w:val="left"/>
    </w:pPr>
    <w:rPr>
      <w:rFonts w:ascii="Cambria" w:hAnsi="Cambria" w:eastAsia="Calibri" w:cs=""/>
      <w:color w:val="000000"/>
      <w:kern w:val="0"/>
      <w:sz w:val="24"/>
      <w:szCs w:val="22"/>
      <w:lang w:val="pl-PL" w:eastAsia="en-US"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af7d8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LibreOffice/24.8.0.3$Windows_X86_64 LibreOffice_project/0bdf1299c94fe897b119f97f3c613e9dca6be583</Application>
  <AppVersion>15.0000</AppVersion>
  <Pages>3</Pages>
  <Words>645</Words>
  <Characters>3787</Characters>
  <CharactersWithSpaces>4366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2024-05-16T10:53:00Z</dcterms:created>
  <dc:creator>Elżbieta  Linowska</dc:creator>
  <dc:description/>
  <cp:keywords>Prolegis ECRK LEX</cp:keywords>
  <dc:language>pl-PL</dc:language>
  <cp:lastModifiedBy/>
  <dcterms:modified xsi:type="dcterms:W3CDTF">2024-09-30T14:07:24Z</dcterms:modified>
  <cp:revision>3</cp:revision>
  <dc:subject/>
  <dc:title>Wzorcowy statut szkoły podstawowej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